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D0B8" w14:textId="4DF69C09" w:rsidR="002549D8" w:rsidRDefault="002549D8" w:rsidP="002549D8">
      <w:r>
        <w:t>ANALES GALDOSIANOS 5</w:t>
      </w:r>
      <w:r w:rsidR="0012712C">
        <w:t>7</w:t>
      </w:r>
      <w:r>
        <w:t xml:space="preserve"> (202</w:t>
      </w:r>
      <w:r w:rsidR="0012712C">
        <w:t>2</w:t>
      </w:r>
      <w:r>
        <w:t>)</w:t>
      </w:r>
    </w:p>
    <w:p w14:paraId="7FD53042" w14:textId="77777777" w:rsidR="00AD162D" w:rsidRDefault="00AD162D" w:rsidP="00C86FC9"/>
    <w:p w14:paraId="76EDA5F4" w14:textId="1FFB1EB1" w:rsidR="00C86FC9" w:rsidRDefault="002549D8" w:rsidP="00C86FC9">
      <w:r>
        <w:t>Número monográfico:</w:t>
      </w:r>
      <w:r w:rsidR="00C86FC9">
        <w:rPr>
          <w:i/>
          <w:iCs/>
        </w:rPr>
        <w:t xml:space="preserve"> Pardo Bazán y Pérez Galdós: consonancias y convergencias </w:t>
      </w:r>
      <w:r w:rsidR="00C839A6">
        <w:rPr>
          <w:i/>
          <w:iCs/>
        </w:rPr>
        <w:t xml:space="preserve">con ocasión </w:t>
      </w:r>
      <w:r w:rsidR="00C86FC9">
        <w:rPr>
          <w:i/>
          <w:iCs/>
        </w:rPr>
        <w:t>de dos centenarios</w:t>
      </w:r>
      <w:r w:rsidR="00C86FC9">
        <w:t>.</w:t>
      </w:r>
    </w:p>
    <w:p w14:paraId="2FA1A8C7" w14:textId="5B750814" w:rsidR="002549D8" w:rsidRPr="002549D8" w:rsidRDefault="00C86FC9" w:rsidP="00C86FC9">
      <w:pPr>
        <w:rPr>
          <w:b w:val="0"/>
          <w:bCs/>
        </w:rPr>
      </w:pPr>
      <w:r>
        <w:t xml:space="preserve">Plazo de envío de propuestas: </w:t>
      </w:r>
      <w:r w:rsidR="000A3081">
        <w:rPr>
          <w:b w:val="0"/>
          <w:bCs/>
        </w:rPr>
        <w:t>5</w:t>
      </w:r>
      <w:r w:rsidRPr="00FC3A05">
        <w:rPr>
          <w:b w:val="0"/>
          <w:bCs/>
        </w:rPr>
        <w:t xml:space="preserve"> de</w:t>
      </w:r>
      <w:r w:rsidR="000A3081">
        <w:rPr>
          <w:b w:val="0"/>
          <w:bCs/>
        </w:rPr>
        <w:t xml:space="preserve"> diciembre</w:t>
      </w:r>
      <w:r w:rsidR="002549D8">
        <w:rPr>
          <w:b w:val="0"/>
          <w:bCs/>
        </w:rPr>
        <w:t xml:space="preserve"> de 202</w:t>
      </w:r>
      <w:r w:rsidR="008D045A">
        <w:rPr>
          <w:b w:val="0"/>
          <w:bCs/>
        </w:rPr>
        <w:t>1</w:t>
      </w:r>
      <w:r w:rsidR="00FC3A05">
        <w:rPr>
          <w:b w:val="0"/>
          <w:bCs/>
        </w:rPr>
        <w:t>.</w:t>
      </w:r>
    </w:p>
    <w:p w14:paraId="67D4B926" w14:textId="1F485787" w:rsidR="00F85412" w:rsidRPr="002549D8" w:rsidRDefault="002549D8" w:rsidP="002549D8">
      <w:pPr>
        <w:rPr>
          <w:b w:val="0"/>
          <w:bCs/>
        </w:rPr>
      </w:pPr>
      <w:r>
        <w:t>Plazo de envío de originales</w:t>
      </w:r>
      <w:r w:rsidR="0038630E">
        <w:t xml:space="preserve"> (no más de 10000 palabras)</w:t>
      </w:r>
      <w:r>
        <w:t xml:space="preserve">: </w:t>
      </w:r>
      <w:r w:rsidR="000A3081">
        <w:rPr>
          <w:b w:val="0"/>
          <w:bCs/>
        </w:rPr>
        <w:t>30</w:t>
      </w:r>
      <w:r w:rsidR="006A2607">
        <w:rPr>
          <w:b w:val="0"/>
          <w:bCs/>
        </w:rPr>
        <w:t xml:space="preserve"> de abril </w:t>
      </w:r>
      <w:r>
        <w:rPr>
          <w:b w:val="0"/>
          <w:bCs/>
        </w:rPr>
        <w:t>de 202</w:t>
      </w:r>
      <w:r w:rsidR="008D045A">
        <w:rPr>
          <w:b w:val="0"/>
          <w:bCs/>
        </w:rPr>
        <w:t>2</w:t>
      </w:r>
      <w:r w:rsidR="00FC3A05">
        <w:rPr>
          <w:b w:val="0"/>
          <w:bCs/>
        </w:rPr>
        <w:t>.</w:t>
      </w:r>
    </w:p>
    <w:p w14:paraId="66CFE55B" w14:textId="53E4EDD8" w:rsidR="002549D8" w:rsidRDefault="002549D8" w:rsidP="00FC3A05">
      <w:pPr>
        <w:rPr>
          <w:b w:val="0"/>
          <w:bCs/>
        </w:rPr>
      </w:pPr>
      <w:r>
        <w:t xml:space="preserve">Fecha prevista de publicación: </w:t>
      </w:r>
      <w:r w:rsidR="006A2607">
        <w:rPr>
          <w:b w:val="0"/>
          <w:bCs/>
        </w:rPr>
        <w:t xml:space="preserve">noviembre de </w:t>
      </w:r>
      <w:r w:rsidR="0028153A">
        <w:rPr>
          <w:b w:val="0"/>
          <w:bCs/>
        </w:rPr>
        <w:t xml:space="preserve"> 202</w:t>
      </w:r>
      <w:r w:rsidR="008D045A">
        <w:rPr>
          <w:b w:val="0"/>
          <w:bCs/>
        </w:rPr>
        <w:t>2</w:t>
      </w:r>
      <w:r w:rsidR="00FC3A05">
        <w:rPr>
          <w:b w:val="0"/>
          <w:bCs/>
        </w:rPr>
        <w:t>.</w:t>
      </w:r>
    </w:p>
    <w:p w14:paraId="5419A108" w14:textId="77777777" w:rsidR="00FC3A05" w:rsidRPr="002549D8" w:rsidRDefault="00FC3A05" w:rsidP="002549D8">
      <w:pPr>
        <w:rPr>
          <w:b w:val="0"/>
          <w:bCs/>
        </w:rPr>
      </w:pPr>
    </w:p>
    <w:p w14:paraId="04258DFC" w14:textId="77777777" w:rsidR="00FC3A05" w:rsidRPr="001403DB" w:rsidRDefault="002549D8" w:rsidP="00FC3A05">
      <w:pPr>
        <w:rPr>
          <w:b w:val="0"/>
          <w:bCs/>
          <w:lang w:val="en-US"/>
        </w:rPr>
      </w:pPr>
      <w:proofErr w:type="spellStart"/>
      <w:r w:rsidRPr="001403DB">
        <w:rPr>
          <w:lang w:val="en-US"/>
        </w:rPr>
        <w:t>Editores</w:t>
      </w:r>
      <w:proofErr w:type="spellEnd"/>
      <w:r w:rsidRPr="001403DB">
        <w:rPr>
          <w:lang w:val="en-US"/>
        </w:rPr>
        <w:t>:</w:t>
      </w:r>
    </w:p>
    <w:p w14:paraId="770E4DD9" w14:textId="77777777" w:rsidR="002549D8" w:rsidRPr="001403DB" w:rsidRDefault="002549D8" w:rsidP="002549D8">
      <w:pPr>
        <w:rPr>
          <w:b w:val="0"/>
          <w:bCs/>
          <w:lang w:val="en-US"/>
        </w:rPr>
      </w:pPr>
      <w:r w:rsidRPr="001403DB">
        <w:rPr>
          <w:b w:val="0"/>
          <w:bCs/>
          <w:lang w:val="en-US"/>
        </w:rPr>
        <w:t xml:space="preserve">Toni </w:t>
      </w:r>
      <w:proofErr w:type="spellStart"/>
      <w:r w:rsidRPr="001403DB">
        <w:rPr>
          <w:b w:val="0"/>
          <w:bCs/>
          <w:lang w:val="en-US"/>
        </w:rPr>
        <w:t>Dorca</w:t>
      </w:r>
      <w:proofErr w:type="spellEnd"/>
      <w:r w:rsidRPr="001403DB">
        <w:rPr>
          <w:b w:val="0"/>
          <w:bCs/>
          <w:lang w:val="en-US"/>
        </w:rPr>
        <w:t xml:space="preserve"> (Macalester College)</w:t>
      </w:r>
    </w:p>
    <w:p w14:paraId="7ACD6A2D" w14:textId="77777777" w:rsidR="002549D8" w:rsidRPr="001403DB" w:rsidRDefault="002549D8" w:rsidP="002549D8">
      <w:pPr>
        <w:rPr>
          <w:b w:val="0"/>
          <w:bCs/>
          <w:lang w:val="en-US"/>
        </w:rPr>
      </w:pPr>
      <w:r w:rsidRPr="001403DB">
        <w:rPr>
          <w:b w:val="0"/>
          <w:bCs/>
          <w:lang w:val="en-US"/>
        </w:rPr>
        <w:t>Sara Muñoz</w:t>
      </w:r>
      <w:r w:rsidR="00D3575C" w:rsidRPr="001403DB">
        <w:rPr>
          <w:b w:val="0"/>
          <w:bCs/>
          <w:lang w:val="en-US"/>
        </w:rPr>
        <w:t>-</w:t>
      </w:r>
      <w:proofErr w:type="spellStart"/>
      <w:r w:rsidR="00D3575C" w:rsidRPr="001403DB">
        <w:rPr>
          <w:b w:val="0"/>
          <w:bCs/>
          <w:lang w:val="en-US"/>
        </w:rPr>
        <w:t>Muriana</w:t>
      </w:r>
      <w:proofErr w:type="spellEnd"/>
      <w:r w:rsidRPr="001403DB">
        <w:rPr>
          <w:b w:val="0"/>
          <w:bCs/>
          <w:lang w:val="en-US"/>
        </w:rPr>
        <w:t xml:space="preserve"> (Dartmouth College)</w:t>
      </w:r>
    </w:p>
    <w:p w14:paraId="356F335D" w14:textId="77777777" w:rsidR="002549D8" w:rsidRPr="001403DB" w:rsidRDefault="002549D8" w:rsidP="002549D8">
      <w:pPr>
        <w:rPr>
          <w:b w:val="0"/>
          <w:bCs/>
          <w:lang w:val="en-US"/>
        </w:rPr>
      </w:pPr>
      <w:r w:rsidRPr="001403DB">
        <w:rPr>
          <w:b w:val="0"/>
          <w:bCs/>
          <w:lang w:val="en-US"/>
        </w:rPr>
        <w:t>Gabrielle Miller (Baylor University)</w:t>
      </w:r>
    </w:p>
    <w:p w14:paraId="061249BC" w14:textId="77777777" w:rsidR="00C22086" w:rsidRPr="001403DB" w:rsidRDefault="00C22086" w:rsidP="00AA0952">
      <w:pPr>
        <w:jc w:val="center"/>
        <w:rPr>
          <w:lang w:val="en-US"/>
        </w:rPr>
      </w:pPr>
    </w:p>
    <w:p w14:paraId="65518C9F" w14:textId="74104E36" w:rsidR="004322EA" w:rsidRDefault="001B2715" w:rsidP="00007CF6">
      <w:pPr>
        <w:rPr>
          <w:b w:val="0"/>
          <w:bCs/>
        </w:rPr>
      </w:pPr>
      <w:r>
        <w:rPr>
          <w:b w:val="0"/>
          <w:bCs/>
        </w:rPr>
        <w:t>En los dos últimos años</w:t>
      </w:r>
      <w:r w:rsidR="008B2C65">
        <w:rPr>
          <w:b w:val="0"/>
          <w:bCs/>
        </w:rPr>
        <w:t>, las</w:t>
      </w:r>
      <w:r w:rsidR="006B0FF0">
        <w:rPr>
          <w:b w:val="0"/>
          <w:bCs/>
        </w:rPr>
        <w:t xml:space="preserve"> sucesivas</w:t>
      </w:r>
      <w:r w:rsidR="008B2C65">
        <w:rPr>
          <w:b w:val="0"/>
          <w:bCs/>
        </w:rPr>
        <w:t xml:space="preserve"> conmemoraciones</w:t>
      </w:r>
      <w:r w:rsidR="00CB0B57">
        <w:rPr>
          <w:b w:val="0"/>
          <w:bCs/>
        </w:rPr>
        <w:t xml:space="preserve"> de </w:t>
      </w:r>
      <w:r w:rsidR="008B2C65">
        <w:rPr>
          <w:b w:val="0"/>
          <w:bCs/>
        </w:rPr>
        <w:t>los</w:t>
      </w:r>
      <w:r w:rsidR="00645E00">
        <w:rPr>
          <w:b w:val="0"/>
          <w:bCs/>
        </w:rPr>
        <w:t xml:space="preserve"> </w:t>
      </w:r>
      <w:r w:rsidR="008D045A">
        <w:rPr>
          <w:b w:val="0"/>
          <w:bCs/>
        </w:rPr>
        <w:t>centenarios de</w:t>
      </w:r>
      <w:r w:rsidR="008B2C65">
        <w:rPr>
          <w:b w:val="0"/>
          <w:bCs/>
        </w:rPr>
        <w:t xml:space="preserve"> la muerte</w:t>
      </w:r>
      <w:r w:rsidR="008D045A">
        <w:rPr>
          <w:b w:val="0"/>
          <w:bCs/>
        </w:rPr>
        <w:t xml:space="preserve"> de Benito Pérez Galdós (2020) y Emilia Pardo Bazán</w:t>
      </w:r>
      <w:r w:rsidR="008B2C65">
        <w:rPr>
          <w:b w:val="0"/>
          <w:bCs/>
        </w:rPr>
        <w:t xml:space="preserve"> (2021</w:t>
      </w:r>
      <w:r w:rsidR="00466101">
        <w:rPr>
          <w:b w:val="0"/>
          <w:bCs/>
        </w:rPr>
        <w:t>)</w:t>
      </w:r>
      <w:r w:rsidR="008D045A">
        <w:rPr>
          <w:b w:val="0"/>
          <w:bCs/>
        </w:rPr>
        <w:t xml:space="preserve"> han </w:t>
      </w:r>
      <w:r w:rsidR="008B2C65">
        <w:rPr>
          <w:b w:val="0"/>
          <w:bCs/>
        </w:rPr>
        <w:t>propiciado</w:t>
      </w:r>
      <w:r w:rsidR="004322EA">
        <w:rPr>
          <w:b w:val="0"/>
          <w:bCs/>
        </w:rPr>
        <w:t xml:space="preserve"> </w:t>
      </w:r>
      <w:r w:rsidR="008520BC">
        <w:rPr>
          <w:b w:val="0"/>
          <w:bCs/>
        </w:rPr>
        <w:t xml:space="preserve">un buen número de </w:t>
      </w:r>
      <w:r w:rsidR="008B2C65">
        <w:rPr>
          <w:b w:val="0"/>
          <w:bCs/>
        </w:rPr>
        <w:t>congresos</w:t>
      </w:r>
      <w:r w:rsidR="008520BC">
        <w:rPr>
          <w:b w:val="0"/>
          <w:bCs/>
        </w:rPr>
        <w:t xml:space="preserve">, exposiciones y </w:t>
      </w:r>
      <w:r w:rsidR="008B2C65">
        <w:rPr>
          <w:b w:val="0"/>
          <w:bCs/>
        </w:rPr>
        <w:t xml:space="preserve">publicaciones </w:t>
      </w:r>
      <w:r w:rsidR="00E454BB">
        <w:rPr>
          <w:b w:val="0"/>
          <w:bCs/>
        </w:rPr>
        <w:t xml:space="preserve">sobre </w:t>
      </w:r>
      <w:r w:rsidR="008D045A">
        <w:rPr>
          <w:b w:val="0"/>
          <w:bCs/>
        </w:rPr>
        <w:t>la vida y obra de</w:t>
      </w:r>
      <w:r w:rsidR="00781D48">
        <w:rPr>
          <w:b w:val="0"/>
          <w:bCs/>
        </w:rPr>
        <w:t xml:space="preserve"> cada uno</w:t>
      </w:r>
      <w:r w:rsidR="00D1536F">
        <w:rPr>
          <w:b w:val="0"/>
          <w:bCs/>
        </w:rPr>
        <w:t xml:space="preserve">. </w:t>
      </w:r>
      <w:r w:rsidR="00D1536F">
        <w:rPr>
          <w:b w:val="0"/>
          <w:bCs/>
          <w:i/>
          <w:iCs/>
        </w:rPr>
        <w:t>A</w:t>
      </w:r>
      <w:r w:rsidR="00781D48" w:rsidRPr="004A137D">
        <w:rPr>
          <w:b w:val="0"/>
          <w:bCs/>
          <w:i/>
          <w:iCs/>
          <w:szCs w:val="24"/>
        </w:rPr>
        <w:t>nales Galdosianos</w:t>
      </w:r>
      <w:r w:rsidR="00781D48" w:rsidRPr="004A137D">
        <w:rPr>
          <w:b w:val="0"/>
          <w:bCs/>
          <w:szCs w:val="24"/>
        </w:rPr>
        <w:t xml:space="preserve"> quisiera contribuir</w:t>
      </w:r>
      <w:r w:rsidR="00781D48" w:rsidRPr="001854A1">
        <w:rPr>
          <w:b w:val="0"/>
          <w:bCs/>
          <w:szCs w:val="24"/>
        </w:rPr>
        <w:t xml:space="preserve"> a</w:t>
      </w:r>
      <w:r w:rsidR="008520BC" w:rsidRPr="001854A1">
        <w:rPr>
          <w:b w:val="0"/>
          <w:bCs/>
          <w:szCs w:val="24"/>
        </w:rPr>
        <w:t xml:space="preserve"> la doble</w:t>
      </w:r>
      <w:r w:rsidR="00781D48" w:rsidRPr="001854A1">
        <w:rPr>
          <w:b w:val="0"/>
          <w:bCs/>
          <w:szCs w:val="24"/>
        </w:rPr>
        <w:t xml:space="preserve"> efeméride</w:t>
      </w:r>
      <w:r w:rsidR="009F23BD" w:rsidRPr="001854A1">
        <w:rPr>
          <w:b w:val="0"/>
          <w:bCs/>
          <w:szCs w:val="24"/>
        </w:rPr>
        <w:t xml:space="preserve"> </w:t>
      </w:r>
      <w:r w:rsidR="00CB0B57" w:rsidRPr="001854A1">
        <w:rPr>
          <w:b w:val="0"/>
          <w:bCs/>
          <w:szCs w:val="24"/>
        </w:rPr>
        <w:t>haciendo hincapié en</w:t>
      </w:r>
      <w:r w:rsidR="000C7568" w:rsidRPr="001854A1">
        <w:rPr>
          <w:b w:val="0"/>
          <w:bCs/>
          <w:szCs w:val="24"/>
        </w:rPr>
        <w:t xml:space="preserve"> </w:t>
      </w:r>
      <w:r w:rsidR="000874E8" w:rsidRPr="001854A1">
        <w:rPr>
          <w:b w:val="0"/>
          <w:bCs/>
          <w:szCs w:val="24"/>
        </w:rPr>
        <w:t>las</w:t>
      </w:r>
      <w:r w:rsidR="00CB0B57" w:rsidRPr="001854A1">
        <w:rPr>
          <w:b w:val="0"/>
          <w:bCs/>
          <w:szCs w:val="24"/>
        </w:rPr>
        <w:t xml:space="preserve"> múltiples </w:t>
      </w:r>
      <w:r w:rsidR="000874E8" w:rsidRPr="001854A1">
        <w:rPr>
          <w:b w:val="0"/>
          <w:bCs/>
          <w:szCs w:val="24"/>
        </w:rPr>
        <w:t>relaciones que ambos creadores mantuvieron</w:t>
      </w:r>
      <w:r w:rsidR="00553F04">
        <w:rPr>
          <w:b w:val="0"/>
          <w:bCs/>
          <w:szCs w:val="24"/>
        </w:rPr>
        <w:t xml:space="preserve"> entre sí durante aproximadamente cuatro décadas (1880-1920)</w:t>
      </w:r>
      <w:r w:rsidR="000874E8" w:rsidRPr="001854A1">
        <w:rPr>
          <w:b w:val="0"/>
          <w:bCs/>
          <w:szCs w:val="24"/>
        </w:rPr>
        <w:t>.</w:t>
      </w:r>
      <w:r w:rsidR="00CB0B57" w:rsidRPr="001854A1">
        <w:rPr>
          <w:b w:val="0"/>
          <w:bCs/>
          <w:szCs w:val="24"/>
        </w:rPr>
        <w:t xml:space="preserve"> </w:t>
      </w:r>
      <w:r w:rsidR="000874E8" w:rsidRPr="001854A1">
        <w:rPr>
          <w:b w:val="0"/>
          <w:bCs/>
          <w:szCs w:val="24"/>
        </w:rPr>
        <w:t xml:space="preserve">A tal efecto, se invita </w:t>
      </w:r>
      <w:r w:rsidR="004322EA" w:rsidRPr="00553F04">
        <w:rPr>
          <w:b w:val="0"/>
          <w:bCs/>
          <w:szCs w:val="24"/>
        </w:rPr>
        <w:t>a</w:t>
      </w:r>
      <w:r w:rsidR="001D344C" w:rsidRPr="00553F04">
        <w:rPr>
          <w:b w:val="0"/>
          <w:bCs/>
          <w:szCs w:val="24"/>
        </w:rPr>
        <w:t xml:space="preserve"> presentar</w:t>
      </w:r>
      <w:r w:rsidR="004322EA" w:rsidRPr="00553F04">
        <w:rPr>
          <w:b w:val="0"/>
          <w:bCs/>
          <w:szCs w:val="24"/>
        </w:rPr>
        <w:t xml:space="preserve"> propuestas</w:t>
      </w:r>
      <w:r w:rsidR="009F23BD" w:rsidRPr="00553F04">
        <w:rPr>
          <w:b w:val="0"/>
          <w:bCs/>
          <w:szCs w:val="24"/>
        </w:rPr>
        <w:t xml:space="preserve"> </w:t>
      </w:r>
      <w:r w:rsidR="000C7568" w:rsidRPr="00553F04">
        <w:rPr>
          <w:b w:val="0"/>
          <w:bCs/>
          <w:szCs w:val="24"/>
        </w:rPr>
        <w:t>que arrojen nueva luz</w:t>
      </w:r>
      <w:r w:rsidR="00264FC3">
        <w:rPr>
          <w:b w:val="0"/>
          <w:bCs/>
          <w:szCs w:val="24"/>
        </w:rPr>
        <w:t xml:space="preserve"> sobre </w:t>
      </w:r>
      <w:r w:rsidR="00555F2F" w:rsidRPr="00553F04">
        <w:rPr>
          <w:b w:val="0"/>
          <w:bCs/>
          <w:szCs w:val="24"/>
        </w:rPr>
        <w:t>aspectos biográficos</w:t>
      </w:r>
      <w:r w:rsidR="00B51A0A" w:rsidRPr="00553F04">
        <w:rPr>
          <w:b w:val="0"/>
          <w:bCs/>
          <w:szCs w:val="24"/>
        </w:rPr>
        <w:t xml:space="preserve">, </w:t>
      </w:r>
      <w:r w:rsidR="00555F2F" w:rsidRPr="00553F04">
        <w:rPr>
          <w:b w:val="0"/>
          <w:bCs/>
          <w:szCs w:val="24"/>
        </w:rPr>
        <w:t>práctica</w:t>
      </w:r>
      <w:r w:rsidR="00C7458A" w:rsidRPr="00553F04">
        <w:rPr>
          <w:b w:val="0"/>
          <w:bCs/>
          <w:szCs w:val="24"/>
        </w:rPr>
        <w:t>s</w:t>
      </w:r>
      <w:r w:rsidR="00CB0B57" w:rsidRPr="00553F04">
        <w:rPr>
          <w:b w:val="0"/>
          <w:bCs/>
          <w:szCs w:val="24"/>
        </w:rPr>
        <w:t xml:space="preserve"> escriturales</w:t>
      </w:r>
      <w:r w:rsidR="002B12DA" w:rsidRPr="00553F04">
        <w:rPr>
          <w:b w:val="0"/>
          <w:bCs/>
          <w:szCs w:val="24"/>
        </w:rPr>
        <w:t xml:space="preserve"> o</w:t>
      </w:r>
      <w:r w:rsidR="00264FC3">
        <w:rPr>
          <w:b w:val="0"/>
          <w:bCs/>
          <w:szCs w:val="24"/>
        </w:rPr>
        <w:t xml:space="preserve"> afinidades electivas</w:t>
      </w:r>
      <w:r w:rsidR="000874E8" w:rsidRPr="00553F04">
        <w:rPr>
          <w:b w:val="0"/>
          <w:bCs/>
          <w:szCs w:val="24"/>
        </w:rPr>
        <w:t xml:space="preserve"> que</w:t>
      </w:r>
      <w:r w:rsidR="00CB0B57" w:rsidRPr="00553F04">
        <w:rPr>
          <w:b w:val="0"/>
          <w:bCs/>
          <w:szCs w:val="24"/>
        </w:rPr>
        <w:t xml:space="preserve"> aúnan </w:t>
      </w:r>
      <w:r w:rsidR="000874E8" w:rsidRPr="00553F04">
        <w:rPr>
          <w:b w:val="0"/>
          <w:bCs/>
          <w:szCs w:val="24"/>
        </w:rPr>
        <w:t>las emblemáticas figuras de</w:t>
      </w:r>
      <w:r w:rsidR="00E21264">
        <w:rPr>
          <w:b w:val="0"/>
          <w:bCs/>
          <w:szCs w:val="24"/>
        </w:rPr>
        <w:t xml:space="preserve"> Pardo Bazán y Pérez Galdó</w:t>
      </w:r>
      <w:r w:rsidR="004C215E">
        <w:rPr>
          <w:b w:val="0"/>
          <w:bCs/>
          <w:szCs w:val="24"/>
        </w:rPr>
        <w:t>s</w:t>
      </w:r>
      <w:r w:rsidR="001D344C" w:rsidRPr="004A137D">
        <w:rPr>
          <w:b w:val="0"/>
          <w:bCs/>
          <w:szCs w:val="24"/>
        </w:rPr>
        <w:t>.</w:t>
      </w:r>
      <w:r w:rsidR="002A3F82">
        <w:rPr>
          <w:b w:val="0"/>
          <w:bCs/>
          <w:szCs w:val="24"/>
        </w:rPr>
        <w:t xml:space="preserve"> </w:t>
      </w:r>
      <w:r w:rsidR="00872F2A">
        <w:rPr>
          <w:b w:val="0"/>
          <w:bCs/>
          <w:szCs w:val="24"/>
        </w:rPr>
        <w:t>No se trata de reciclar asuntos ya ampliamente tratados por los estudiosos, sino</w:t>
      </w:r>
      <w:r w:rsidR="004A137D">
        <w:rPr>
          <w:b w:val="0"/>
          <w:bCs/>
          <w:szCs w:val="24"/>
        </w:rPr>
        <w:t xml:space="preserve"> d</w:t>
      </w:r>
      <w:r w:rsidR="001854A1">
        <w:rPr>
          <w:b w:val="0"/>
          <w:bCs/>
          <w:szCs w:val="24"/>
        </w:rPr>
        <w:t>e profundizar en el conocimiento del binomio</w:t>
      </w:r>
      <w:r w:rsidR="00DB6F86">
        <w:rPr>
          <w:b w:val="0"/>
          <w:bCs/>
          <w:szCs w:val="24"/>
        </w:rPr>
        <w:t xml:space="preserve"> </w:t>
      </w:r>
      <w:r w:rsidR="004A137D">
        <w:rPr>
          <w:b w:val="0"/>
          <w:bCs/>
          <w:szCs w:val="24"/>
        </w:rPr>
        <w:t>Pardo Bazán</w:t>
      </w:r>
      <w:r w:rsidR="004C215E">
        <w:rPr>
          <w:b w:val="0"/>
          <w:bCs/>
          <w:szCs w:val="24"/>
        </w:rPr>
        <w:t>-Pérez Galdós</w:t>
      </w:r>
      <w:r w:rsidR="001854A1">
        <w:rPr>
          <w:b w:val="0"/>
          <w:bCs/>
          <w:szCs w:val="24"/>
        </w:rPr>
        <w:t xml:space="preserve"> desde una variedad de enfoques críticos</w:t>
      </w:r>
      <w:r w:rsidR="004A137D">
        <w:rPr>
          <w:b w:val="0"/>
          <w:bCs/>
          <w:szCs w:val="24"/>
        </w:rPr>
        <w:t xml:space="preserve">. </w:t>
      </w:r>
      <w:r w:rsidR="001D344C">
        <w:rPr>
          <w:b w:val="0"/>
          <w:bCs/>
        </w:rPr>
        <w:t xml:space="preserve">Sin ánimos de ser exhaustivos, </w:t>
      </w:r>
      <w:r w:rsidR="0080116C">
        <w:rPr>
          <w:b w:val="0"/>
          <w:bCs/>
        </w:rPr>
        <w:t>serían d</w:t>
      </w:r>
      <w:r w:rsidR="0046351D">
        <w:rPr>
          <w:b w:val="0"/>
          <w:bCs/>
        </w:rPr>
        <w:t>e especial</w:t>
      </w:r>
      <w:r w:rsidR="0080116C">
        <w:rPr>
          <w:b w:val="0"/>
          <w:bCs/>
        </w:rPr>
        <w:t xml:space="preserve"> interés </w:t>
      </w:r>
      <w:r w:rsidR="001D344C">
        <w:rPr>
          <w:b w:val="0"/>
          <w:bCs/>
        </w:rPr>
        <w:t>l</w:t>
      </w:r>
      <w:r w:rsidR="00982007">
        <w:rPr>
          <w:b w:val="0"/>
          <w:bCs/>
        </w:rPr>
        <w:t>os trabajos que</w:t>
      </w:r>
      <w:r w:rsidR="00465408">
        <w:rPr>
          <w:b w:val="0"/>
          <w:bCs/>
        </w:rPr>
        <w:t xml:space="preserve"> </w:t>
      </w:r>
      <w:r w:rsidR="00982007">
        <w:rPr>
          <w:b w:val="0"/>
          <w:bCs/>
        </w:rPr>
        <w:t>abord</w:t>
      </w:r>
      <w:r w:rsidR="0080116C">
        <w:rPr>
          <w:b w:val="0"/>
          <w:bCs/>
        </w:rPr>
        <w:t>aran</w:t>
      </w:r>
      <w:r w:rsidR="00982007">
        <w:rPr>
          <w:b w:val="0"/>
          <w:bCs/>
        </w:rPr>
        <w:t xml:space="preserve"> los</w:t>
      </w:r>
      <w:r w:rsidR="001D344C">
        <w:rPr>
          <w:b w:val="0"/>
          <w:bCs/>
        </w:rPr>
        <w:t xml:space="preserve"> siguientes asuntos</w:t>
      </w:r>
      <w:r w:rsidR="00982007">
        <w:rPr>
          <w:b w:val="0"/>
          <w:bCs/>
        </w:rPr>
        <w:t>:</w:t>
      </w:r>
    </w:p>
    <w:p w14:paraId="55E135A7" w14:textId="3BD42D92" w:rsidR="004322EA" w:rsidRDefault="004322EA" w:rsidP="00007CF6">
      <w:pPr>
        <w:rPr>
          <w:b w:val="0"/>
          <w:bCs/>
        </w:rPr>
      </w:pPr>
    </w:p>
    <w:p w14:paraId="2B993F50" w14:textId="469EA456" w:rsidR="00364465" w:rsidRDefault="004322EA" w:rsidP="00065FDF">
      <w:pPr>
        <w:ind w:left="1440"/>
        <w:rPr>
          <w:b w:val="0"/>
          <w:bCs/>
        </w:rPr>
      </w:pPr>
      <w:r>
        <w:rPr>
          <w:b w:val="0"/>
          <w:bCs/>
        </w:rPr>
        <w:t>-</w:t>
      </w:r>
      <w:r w:rsidR="002B12DA">
        <w:rPr>
          <w:b w:val="0"/>
          <w:bCs/>
        </w:rPr>
        <w:t xml:space="preserve"> Intercambios </w:t>
      </w:r>
      <w:r>
        <w:rPr>
          <w:b w:val="0"/>
          <w:bCs/>
        </w:rPr>
        <w:t>epistolar</w:t>
      </w:r>
      <w:r w:rsidR="002B12DA">
        <w:rPr>
          <w:b w:val="0"/>
          <w:bCs/>
        </w:rPr>
        <w:t>es</w:t>
      </w:r>
      <w:r>
        <w:rPr>
          <w:b w:val="0"/>
          <w:bCs/>
        </w:rPr>
        <w:t>.</w:t>
      </w:r>
    </w:p>
    <w:p w14:paraId="4F5B4E13" w14:textId="3E19E7F0" w:rsidR="00364465" w:rsidRDefault="004322EA" w:rsidP="00364465">
      <w:pPr>
        <w:ind w:left="1440"/>
        <w:rPr>
          <w:b w:val="0"/>
          <w:bCs/>
        </w:rPr>
      </w:pPr>
      <w:r>
        <w:rPr>
          <w:b w:val="0"/>
          <w:bCs/>
        </w:rPr>
        <w:t xml:space="preserve">- </w:t>
      </w:r>
      <w:r w:rsidR="00C7458A">
        <w:rPr>
          <w:b w:val="0"/>
          <w:bCs/>
        </w:rPr>
        <w:t>Una historia de amistad, afecto y amo</w:t>
      </w:r>
      <w:r w:rsidR="0046351D">
        <w:rPr>
          <w:b w:val="0"/>
          <w:bCs/>
        </w:rPr>
        <w:t>r</w:t>
      </w:r>
      <w:r w:rsidR="000C7568">
        <w:rPr>
          <w:b w:val="0"/>
          <w:bCs/>
        </w:rPr>
        <w:t>.</w:t>
      </w:r>
    </w:p>
    <w:p w14:paraId="499ECE9C" w14:textId="5851F79A" w:rsidR="00364465" w:rsidRDefault="0046351D" w:rsidP="00364465">
      <w:pPr>
        <w:ind w:left="1440"/>
        <w:rPr>
          <w:b w:val="0"/>
          <w:bCs/>
        </w:rPr>
      </w:pPr>
      <w:r>
        <w:rPr>
          <w:b w:val="0"/>
          <w:bCs/>
        </w:rPr>
        <w:t>- Influencias</w:t>
      </w:r>
      <w:r w:rsidR="00664D2A">
        <w:rPr>
          <w:b w:val="0"/>
          <w:bCs/>
        </w:rPr>
        <w:t xml:space="preserve">, intertextualidades </w:t>
      </w:r>
      <w:r>
        <w:rPr>
          <w:b w:val="0"/>
          <w:bCs/>
        </w:rPr>
        <w:t>y mediaciones recíprocas: el naturalismo, la novela rusa, el teatro</w:t>
      </w:r>
      <w:r w:rsidR="00275408">
        <w:rPr>
          <w:b w:val="0"/>
          <w:bCs/>
        </w:rPr>
        <w:t>, etc</w:t>
      </w:r>
      <w:r>
        <w:rPr>
          <w:b w:val="0"/>
          <w:bCs/>
        </w:rPr>
        <w:t>.</w:t>
      </w:r>
    </w:p>
    <w:p w14:paraId="6A9E148F" w14:textId="78F23D78" w:rsidR="00364465" w:rsidRDefault="00D1536F" w:rsidP="00364465">
      <w:pPr>
        <w:ind w:left="1440"/>
        <w:rPr>
          <w:b w:val="0"/>
          <w:bCs/>
        </w:rPr>
      </w:pPr>
      <w:r>
        <w:rPr>
          <w:b w:val="0"/>
          <w:bCs/>
        </w:rPr>
        <w:t>- La gestación de un universo literario propio</w:t>
      </w:r>
      <w:r w:rsidR="0046351D">
        <w:rPr>
          <w:b w:val="0"/>
          <w:bCs/>
        </w:rPr>
        <w:t xml:space="preserve">: </w:t>
      </w:r>
      <w:r>
        <w:rPr>
          <w:b w:val="0"/>
          <w:bCs/>
        </w:rPr>
        <w:t>lenguaje,</w:t>
      </w:r>
      <w:r w:rsidR="00264FC3">
        <w:rPr>
          <w:b w:val="0"/>
          <w:bCs/>
        </w:rPr>
        <w:t xml:space="preserve"> personajes, estrategias retóricas</w:t>
      </w:r>
      <w:r w:rsidR="007B4966">
        <w:rPr>
          <w:b w:val="0"/>
          <w:bCs/>
        </w:rPr>
        <w:t>, etc</w:t>
      </w:r>
      <w:r>
        <w:rPr>
          <w:b w:val="0"/>
          <w:bCs/>
        </w:rPr>
        <w:t>.</w:t>
      </w:r>
    </w:p>
    <w:p w14:paraId="4E17F2C3" w14:textId="2797A91F" w:rsidR="00364465" w:rsidRDefault="00264FC3" w:rsidP="00364465">
      <w:pPr>
        <w:ind w:left="1440"/>
        <w:rPr>
          <w:b w:val="0"/>
          <w:bCs/>
        </w:rPr>
      </w:pPr>
      <w:r>
        <w:rPr>
          <w:b w:val="0"/>
          <w:bCs/>
        </w:rPr>
        <w:t>- La problematización de la realidad contemporánea: correspondencias temáticas.</w:t>
      </w:r>
      <w:r w:rsidR="00D1536F">
        <w:rPr>
          <w:b w:val="0"/>
          <w:bCs/>
        </w:rPr>
        <w:t xml:space="preserve"> </w:t>
      </w:r>
      <w:r w:rsidR="00BD3E27">
        <w:rPr>
          <w:b w:val="0"/>
          <w:bCs/>
        </w:rPr>
        <w:t>- Cuestionamientos y transgresiones del orden.</w:t>
      </w:r>
    </w:p>
    <w:p w14:paraId="7A20D633" w14:textId="060E9016" w:rsidR="00364465" w:rsidRDefault="00A555CE" w:rsidP="00364465">
      <w:pPr>
        <w:ind w:left="1440"/>
        <w:rPr>
          <w:b w:val="0"/>
          <w:bCs/>
        </w:rPr>
      </w:pPr>
      <w:r>
        <w:rPr>
          <w:b w:val="0"/>
          <w:bCs/>
        </w:rPr>
        <w:t>- Espacios de encuentro: privados, públicos, nacionales, transnacionales, etc.</w:t>
      </w:r>
    </w:p>
    <w:p w14:paraId="327CA3B9" w14:textId="1DC1E337" w:rsidR="00A555CE" w:rsidRDefault="00A555CE" w:rsidP="00364465">
      <w:pPr>
        <w:ind w:left="1440"/>
        <w:rPr>
          <w:b w:val="0"/>
          <w:bCs/>
        </w:rPr>
      </w:pPr>
      <w:r>
        <w:rPr>
          <w:b w:val="0"/>
          <w:bCs/>
        </w:rPr>
        <w:t>- Creación literaria y mercado editorial.</w:t>
      </w:r>
    </w:p>
    <w:p w14:paraId="576CE26D" w14:textId="2DEA661C" w:rsidR="00DF2F75" w:rsidRPr="00BD2711" w:rsidRDefault="00DF2F75" w:rsidP="00364465">
      <w:pPr>
        <w:tabs>
          <w:tab w:val="left" w:pos="7590"/>
          <w:tab w:val="right" w:pos="9360"/>
        </w:tabs>
        <w:ind w:left="1440" w:firstLine="720"/>
        <w:rPr>
          <w:b w:val="0"/>
          <w:bCs/>
        </w:rPr>
      </w:pPr>
    </w:p>
    <w:p w14:paraId="727ECE81" w14:textId="20FA306F" w:rsidR="0038630E" w:rsidRDefault="0038630E" w:rsidP="00007CF6">
      <w:pPr>
        <w:rPr>
          <w:b w:val="0"/>
          <w:bCs/>
        </w:rPr>
      </w:pPr>
      <w:r>
        <w:rPr>
          <w:b w:val="0"/>
          <w:bCs/>
        </w:rPr>
        <w:t>Las propuestas, en inglés, castellano, gallego o catalán, deben mandarse en un documento Word (.doc o .docx) a:</w:t>
      </w:r>
    </w:p>
    <w:p w14:paraId="05C510FF" w14:textId="77777777" w:rsidR="0038630E" w:rsidRDefault="0038630E" w:rsidP="00007CF6">
      <w:pPr>
        <w:rPr>
          <w:b w:val="0"/>
          <w:bCs/>
        </w:rPr>
      </w:pPr>
      <w:r>
        <w:rPr>
          <w:b w:val="0"/>
          <w:bCs/>
        </w:rPr>
        <w:t>Toni Dorca</w:t>
      </w:r>
    </w:p>
    <w:p w14:paraId="7429A9ED" w14:textId="77777777" w:rsidR="0038630E" w:rsidRDefault="001403DB" w:rsidP="00007CF6">
      <w:pPr>
        <w:rPr>
          <w:b w:val="0"/>
          <w:bCs/>
        </w:rPr>
      </w:pPr>
      <w:hyperlink r:id="rId6" w:history="1">
        <w:r w:rsidR="0038630E" w:rsidRPr="006F6595">
          <w:rPr>
            <w:rStyle w:val="Hyperlink"/>
            <w:b w:val="0"/>
            <w:bCs/>
          </w:rPr>
          <w:t>dorca@macalester.edu</w:t>
        </w:r>
      </w:hyperlink>
    </w:p>
    <w:p w14:paraId="2A376C94" w14:textId="29EE6CBA" w:rsidR="00AD162D" w:rsidRDefault="0038630E" w:rsidP="00007CF6">
      <w:pPr>
        <w:rPr>
          <w:b w:val="0"/>
          <w:bCs/>
        </w:rPr>
      </w:pPr>
      <w:r>
        <w:rPr>
          <w:b w:val="0"/>
          <w:bCs/>
        </w:rPr>
        <w:t xml:space="preserve">El plazo de recepción de estas propuestas finaliza, como ya se ha indicado, el </w:t>
      </w:r>
      <w:r w:rsidR="00876997">
        <w:rPr>
          <w:b w:val="0"/>
          <w:bCs/>
        </w:rPr>
        <w:t xml:space="preserve">5 </w:t>
      </w:r>
      <w:r>
        <w:rPr>
          <w:b w:val="0"/>
          <w:bCs/>
        </w:rPr>
        <w:t xml:space="preserve">de </w:t>
      </w:r>
      <w:r w:rsidR="00876997">
        <w:rPr>
          <w:b w:val="0"/>
          <w:bCs/>
        </w:rPr>
        <w:t>dic</w:t>
      </w:r>
      <w:r>
        <w:rPr>
          <w:b w:val="0"/>
          <w:bCs/>
        </w:rPr>
        <w:t>iembre de 202</w:t>
      </w:r>
      <w:r w:rsidR="005C5F76">
        <w:rPr>
          <w:b w:val="0"/>
          <w:bCs/>
        </w:rPr>
        <w:t>1</w:t>
      </w:r>
      <w:r>
        <w:rPr>
          <w:b w:val="0"/>
          <w:bCs/>
        </w:rPr>
        <w:t>.</w:t>
      </w:r>
    </w:p>
    <w:p w14:paraId="4E60E065" w14:textId="77777777" w:rsidR="00AD162D" w:rsidRDefault="00AD162D">
      <w:pPr>
        <w:rPr>
          <w:b w:val="0"/>
          <w:bCs/>
        </w:rPr>
      </w:pPr>
      <w:r>
        <w:rPr>
          <w:b w:val="0"/>
          <w:bCs/>
        </w:rPr>
        <w:br w:type="page"/>
      </w:r>
    </w:p>
    <w:p w14:paraId="758D5662" w14:textId="77777777" w:rsidR="00AD162D" w:rsidRPr="001403DB" w:rsidRDefault="00AD162D" w:rsidP="00AD162D">
      <w:pPr>
        <w:rPr>
          <w:lang w:val="en-US"/>
        </w:rPr>
      </w:pPr>
      <w:r w:rsidRPr="001403DB">
        <w:rPr>
          <w:lang w:val="en-US"/>
        </w:rPr>
        <w:lastRenderedPageBreak/>
        <w:t>ANALES GALDOSIANOS 57 (2022)</w:t>
      </w:r>
    </w:p>
    <w:p w14:paraId="4A37E9AF" w14:textId="77777777" w:rsidR="00AD162D" w:rsidRPr="001403DB" w:rsidRDefault="00AD162D" w:rsidP="00AD162D">
      <w:pPr>
        <w:rPr>
          <w:lang w:val="en-US"/>
        </w:rPr>
      </w:pPr>
    </w:p>
    <w:p w14:paraId="5E0CB09F" w14:textId="3007C439" w:rsidR="00AD162D" w:rsidRPr="00C72169" w:rsidRDefault="00AD162D" w:rsidP="00AD162D">
      <w:pPr>
        <w:tabs>
          <w:tab w:val="left" w:pos="4145"/>
        </w:tabs>
        <w:rPr>
          <w:b w:val="0"/>
          <w:bCs/>
          <w:lang w:val="en-US"/>
        </w:rPr>
      </w:pPr>
      <w:r w:rsidRPr="00C72169">
        <w:rPr>
          <w:lang w:val="en-US"/>
        </w:rPr>
        <w:t xml:space="preserve">Monographic Issue: </w:t>
      </w:r>
      <w:r w:rsidRPr="00E4532B">
        <w:rPr>
          <w:i/>
          <w:iCs/>
          <w:lang w:val="en-US"/>
        </w:rPr>
        <w:t xml:space="preserve">Pardo </w:t>
      </w:r>
      <w:proofErr w:type="spellStart"/>
      <w:r w:rsidRPr="00E4532B">
        <w:rPr>
          <w:i/>
          <w:iCs/>
          <w:lang w:val="en-US"/>
        </w:rPr>
        <w:t>Bazán</w:t>
      </w:r>
      <w:proofErr w:type="spellEnd"/>
      <w:r w:rsidRPr="00E4532B">
        <w:rPr>
          <w:i/>
          <w:iCs/>
          <w:lang w:val="en-US"/>
        </w:rPr>
        <w:t xml:space="preserve"> and Pérez </w:t>
      </w:r>
      <w:proofErr w:type="spellStart"/>
      <w:r w:rsidRPr="00E4532B">
        <w:rPr>
          <w:i/>
          <w:iCs/>
          <w:lang w:val="en-US"/>
        </w:rPr>
        <w:t>Galdós</w:t>
      </w:r>
      <w:proofErr w:type="spellEnd"/>
      <w:r w:rsidRPr="00E4532B">
        <w:rPr>
          <w:i/>
          <w:iCs/>
          <w:lang w:val="en-US"/>
        </w:rPr>
        <w:t>: Consonance and Confluences in Celebration of Two Centennials</w:t>
      </w:r>
      <w:bookmarkStart w:id="0" w:name="_GoBack"/>
      <w:bookmarkEnd w:id="0"/>
      <w:r>
        <w:rPr>
          <w:b w:val="0"/>
          <w:bCs/>
          <w:lang w:val="en-US"/>
        </w:rPr>
        <w:t xml:space="preserve">  </w:t>
      </w:r>
      <w:r w:rsidRPr="00C72169">
        <w:rPr>
          <w:b w:val="0"/>
          <w:bCs/>
          <w:lang w:val="en-US"/>
        </w:rPr>
        <w:tab/>
      </w:r>
    </w:p>
    <w:p w14:paraId="27E099A2" w14:textId="5168587D" w:rsidR="00AD162D" w:rsidRDefault="00AD162D" w:rsidP="00AD162D">
      <w:pPr>
        <w:tabs>
          <w:tab w:val="left" w:pos="4145"/>
        </w:tabs>
        <w:rPr>
          <w:b w:val="0"/>
          <w:bCs/>
          <w:lang w:val="en-US"/>
        </w:rPr>
      </w:pPr>
      <w:r>
        <w:rPr>
          <w:lang w:val="en-US"/>
        </w:rPr>
        <w:t xml:space="preserve">Deadline for Essay Proposals: </w:t>
      </w:r>
      <w:r w:rsidR="000A3081">
        <w:rPr>
          <w:b w:val="0"/>
          <w:bCs/>
          <w:lang w:val="en-US"/>
        </w:rPr>
        <w:t>December 5</w:t>
      </w:r>
      <w:r>
        <w:rPr>
          <w:b w:val="0"/>
          <w:bCs/>
          <w:lang w:val="en-US"/>
        </w:rPr>
        <w:t>, 2021</w:t>
      </w:r>
    </w:p>
    <w:p w14:paraId="6E729578" w14:textId="5EC1DBD2" w:rsidR="00AD162D" w:rsidRDefault="00AD162D" w:rsidP="00AD162D">
      <w:pPr>
        <w:tabs>
          <w:tab w:val="left" w:pos="4145"/>
        </w:tabs>
        <w:rPr>
          <w:b w:val="0"/>
          <w:bCs/>
          <w:lang w:val="en-US"/>
        </w:rPr>
      </w:pPr>
      <w:r>
        <w:rPr>
          <w:lang w:val="en-US"/>
        </w:rPr>
        <w:t xml:space="preserve">Essay Deadline (no more than 10,000 words): </w:t>
      </w:r>
      <w:r>
        <w:rPr>
          <w:b w:val="0"/>
          <w:bCs/>
          <w:lang w:val="en-US"/>
        </w:rPr>
        <w:t xml:space="preserve">April </w:t>
      </w:r>
      <w:r w:rsidR="000A3081">
        <w:rPr>
          <w:b w:val="0"/>
          <w:bCs/>
          <w:lang w:val="en-US"/>
        </w:rPr>
        <w:t>30</w:t>
      </w:r>
      <w:r>
        <w:rPr>
          <w:b w:val="0"/>
          <w:bCs/>
          <w:lang w:val="en-US"/>
        </w:rPr>
        <w:t>, 2022</w:t>
      </w:r>
    </w:p>
    <w:p w14:paraId="3CDD1095" w14:textId="77777777" w:rsidR="00AD162D" w:rsidRPr="001403DB" w:rsidRDefault="00AD162D" w:rsidP="00AD162D">
      <w:pPr>
        <w:tabs>
          <w:tab w:val="left" w:pos="4145"/>
        </w:tabs>
        <w:rPr>
          <w:b w:val="0"/>
          <w:bCs/>
          <w:lang w:val="en-US"/>
        </w:rPr>
      </w:pPr>
      <w:r>
        <w:rPr>
          <w:lang w:val="en-US"/>
        </w:rPr>
        <w:t xml:space="preserve">Expected Date of Publication: </w:t>
      </w:r>
      <w:r>
        <w:rPr>
          <w:b w:val="0"/>
          <w:bCs/>
          <w:lang w:val="en-US"/>
        </w:rPr>
        <w:t>November 2022</w:t>
      </w:r>
      <w:r>
        <w:rPr>
          <w:lang w:val="en-US"/>
        </w:rPr>
        <w:t xml:space="preserve"> </w:t>
      </w:r>
    </w:p>
    <w:p w14:paraId="07D204DD" w14:textId="77777777" w:rsidR="00AD162D" w:rsidRPr="003C2AC5" w:rsidRDefault="00AD162D" w:rsidP="00AD162D">
      <w:pPr>
        <w:tabs>
          <w:tab w:val="left" w:pos="4145"/>
        </w:tabs>
        <w:rPr>
          <w:b w:val="0"/>
          <w:bCs/>
          <w:lang w:val="en-US"/>
        </w:rPr>
      </w:pPr>
    </w:p>
    <w:p w14:paraId="1F1158DF" w14:textId="77777777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lang w:val="en-US"/>
        </w:rPr>
        <w:t>Editors:</w:t>
      </w:r>
    </w:p>
    <w:p w14:paraId="778B1A88" w14:textId="77777777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b w:val="0"/>
          <w:bCs/>
          <w:lang w:val="en-US"/>
        </w:rPr>
        <w:t>Toni Dorca (Macalester College)</w:t>
      </w:r>
    </w:p>
    <w:p w14:paraId="2E85C41A" w14:textId="77777777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b w:val="0"/>
          <w:bCs/>
          <w:lang w:val="en-US"/>
        </w:rPr>
        <w:t>Sara Muñoz-</w:t>
      </w:r>
      <w:proofErr w:type="spellStart"/>
      <w:r w:rsidRPr="003C2AC5">
        <w:rPr>
          <w:b w:val="0"/>
          <w:bCs/>
          <w:lang w:val="en-US"/>
        </w:rPr>
        <w:t>Muriana</w:t>
      </w:r>
      <w:proofErr w:type="spellEnd"/>
      <w:r w:rsidRPr="003C2AC5">
        <w:rPr>
          <w:b w:val="0"/>
          <w:bCs/>
          <w:lang w:val="en-US"/>
        </w:rPr>
        <w:t xml:space="preserve"> (Dartmouth College)</w:t>
      </w:r>
    </w:p>
    <w:p w14:paraId="5CC0D41D" w14:textId="77777777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b w:val="0"/>
          <w:bCs/>
          <w:lang w:val="en-US"/>
        </w:rPr>
        <w:t>Gabrielle Miller (Baylor University)</w:t>
      </w:r>
    </w:p>
    <w:p w14:paraId="6C963EFD" w14:textId="77777777" w:rsidR="00AD162D" w:rsidRPr="001403DB" w:rsidRDefault="00AD162D" w:rsidP="00AD162D">
      <w:pPr>
        <w:rPr>
          <w:lang w:val="en-US"/>
        </w:rPr>
      </w:pPr>
    </w:p>
    <w:p w14:paraId="5AFB63AC" w14:textId="77777777" w:rsidR="00AD162D" w:rsidRPr="003F7AD1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Over the last two years, successive centennial commemorations of the deaths of Benito Pérez </w:t>
      </w:r>
      <w:proofErr w:type="spellStart"/>
      <w:r>
        <w:rPr>
          <w:b w:val="0"/>
          <w:bCs/>
          <w:lang w:val="en-US"/>
        </w:rPr>
        <w:t>Galdós</w:t>
      </w:r>
      <w:proofErr w:type="spellEnd"/>
      <w:r>
        <w:rPr>
          <w:b w:val="0"/>
          <w:bCs/>
          <w:lang w:val="en-US"/>
        </w:rPr>
        <w:t xml:space="preserve"> (2020) and Emilia Pardo </w:t>
      </w:r>
      <w:proofErr w:type="spellStart"/>
      <w:r>
        <w:rPr>
          <w:b w:val="0"/>
          <w:bCs/>
          <w:lang w:val="en-US"/>
        </w:rPr>
        <w:t>Bazán</w:t>
      </w:r>
      <w:proofErr w:type="spellEnd"/>
      <w:r>
        <w:rPr>
          <w:b w:val="0"/>
          <w:bCs/>
          <w:lang w:val="en-US"/>
        </w:rPr>
        <w:t xml:space="preserve"> (2021) have inspired multiple conferences, exhibitions, and publications about the life and works of each author. </w:t>
      </w:r>
      <w:proofErr w:type="spellStart"/>
      <w:r>
        <w:rPr>
          <w:b w:val="0"/>
          <w:bCs/>
          <w:i/>
          <w:iCs/>
          <w:lang w:val="en-US"/>
        </w:rPr>
        <w:t>Anales</w:t>
      </w:r>
      <w:proofErr w:type="spellEnd"/>
      <w:r>
        <w:rPr>
          <w:b w:val="0"/>
          <w:bCs/>
          <w:i/>
          <w:iCs/>
          <w:lang w:val="en-US"/>
        </w:rPr>
        <w:t xml:space="preserve"> </w:t>
      </w:r>
      <w:proofErr w:type="spellStart"/>
      <w:r>
        <w:rPr>
          <w:b w:val="0"/>
          <w:bCs/>
          <w:i/>
          <w:iCs/>
          <w:lang w:val="en-US"/>
        </w:rPr>
        <w:t>Galdosianos</w:t>
      </w:r>
      <w:proofErr w:type="spellEnd"/>
      <w:r>
        <w:rPr>
          <w:b w:val="0"/>
          <w:bCs/>
          <w:lang w:val="en-US"/>
        </w:rPr>
        <w:t xml:space="preserve"> aims to contribute to this double anniversary by exploring the multiple points of connection and contact the writers maintained over the course of approximately four decades (1880-1920). Toward this aim, the journal</w:t>
      </w:r>
      <w:r>
        <w:rPr>
          <w:b w:val="0"/>
          <w:bCs/>
          <w:i/>
          <w:iCs/>
          <w:lang w:val="en-US"/>
        </w:rPr>
        <w:t xml:space="preserve"> </w:t>
      </w:r>
      <w:r>
        <w:rPr>
          <w:b w:val="0"/>
          <w:bCs/>
          <w:lang w:val="en-US"/>
        </w:rPr>
        <w:t xml:space="preserve">invites potential authors to submit essay proposals that shed new light on biographical aspects, writing practices, or elective affinities that unite the emblematic figures of Pardo </w:t>
      </w:r>
      <w:proofErr w:type="spellStart"/>
      <w:r>
        <w:rPr>
          <w:b w:val="0"/>
          <w:bCs/>
          <w:lang w:val="en-US"/>
        </w:rPr>
        <w:t>Bazán</w:t>
      </w:r>
      <w:proofErr w:type="spellEnd"/>
      <w:r>
        <w:rPr>
          <w:b w:val="0"/>
          <w:bCs/>
          <w:lang w:val="en-US"/>
        </w:rPr>
        <w:t xml:space="preserve"> and Pérez </w:t>
      </w:r>
      <w:proofErr w:type="spellStart"/>
      <w:r>
        <w:rPr>
          <w:b w:val="0"/>
          <w:bCs/>
          <w:lang w:val="en-US"/>
        </w:rPr>
        <w:t>Galdós</w:t>
      </w:r>
      <w:proofErr w:type="spellEnd"/>
      <w:r>
        <w:rPr>
          <w:b w:val="0"/>
          <w:bCs/>
          <w:lang w:val="en-US"/>
        </w:rPr>
        <w:t xml:space="preserve">. Rather than revisit topics well-trodden in the field, abstracts should offer original insights resulting from a joint consideration of both authors and their work. Potential topics may include but are not limited to: </w:t>
      </w:r>
    </w:p>
    <w:p w14:paraId="792BAFBF" w14:textId="77777777" w:rsidR="00AD162D" w:rsidRPr="001403DB" w:rsidRDefault="00AD162D" w:rsidP="00AD162D">
      <w:pPr>
        <w:rPr>
          <w:lang w:val="en-US"/>
        </w:rPr>
      </w:pPr>
    </w:p>
    <w:p w14:paraId="1C0232AB" w14:textId="77777777" w:rsidR="00AD162D" w:rsidRDefault="00AD162D" w:rsidP="00AD162D">
      <w:pPr>
        <w:rPr>
          <w:b w:val="0"/>
          <w:bCs/>
          <w:lang w:val="en-US"/>
        </w:rPr>
      </w:pPr>
      <w:r w:rsidRPr="00D45823">
        <w:rPr>
          <w:b w:val="0"/>
          <w:bCs/>
          <w:lang w:val="en-US"/>
        </w:rPr>
        <w:t>--</w:t>
      </w:r>
      <w:r>
        <w:rPr>
          <w:b w:val="0"/>
          <w:bCs/>
          <w:lang w:val="en-US"/>
        </w:rPr>
        <w:t>E</w:t>
      </w:r>
      <w:r w:rsidRPr="00D45823">
        <w:rPr>
          <w:b w:val="0"/>
          <w:bCs/>
          <w:lang w:val="en-US"/>
        </w:rPr>
        <w:t>pistolary exchanges</w:t>
      </w:r>
    </w:p>
    <w:p w14:paraId="1B5E7C67" w14:textId="77777777" w:rsidR="00AD162D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>--Histories of friendship, affect and love</w:t>
      </w:r>
    </w:p>
    <w:p w14:paraId="12D72A53" w14:textId="77777777" w:rsidR="00AD162D" w:rsidRDefault="00AD162D" w:rsidP="00AD162D">
      <w:pPr>
        <w:ind w:left="180" w:hanging="180"/>
        <w:rPr>
          <w:b w:val="0"/>
          <w:bCs/>
          <w:lang w:val="en-US"/>
        </w:rPr>
      </w:pPr>
      <w:r>
        <w:rPr>
          <w:b w:val="0"/>
          <w:bCs/>
          <w:lang w:val="en-US"/>
        </w:rPr>
        <w:t>--Influences, intertextualities and reciprocal mediations: Naturalism, the Russian novel, the theater, etc.</w:t>
      </w:r>
    </w:p>
    <w:p w14:paraId="637F80C0" w14:textId="77777777" w:rsidR="00AD162D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>--The creation of their own literary universe: language, characters, rhetorical strategies, etc.</w:t>
      </w:r>
    </w:p>
    <w:p w14:paraId="2D7B3458" w14:textId="699C6B37" w:rsidR="00AD162D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--Problematizing their historical moment: thematic correspondences </w:t>
      </w:r>
    </w:p>
    <w:p w14:paraId="6A93F1B4" w14:textId="77777777" w:rsidR="00AD162D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>--Questioning and transgressions of the status quo</w:t>
      </w:r>
    </w:p>
    <w:p w14:paraId="48AC6925" w14:textId="77777777" w:rsidR="00AD162D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>--Meeting spaces: private, public, national, transnational, etc.</w:t>
      </w:r>
    </w:p>
    <w:p w14:paraId="194A99B8" w14:textId="77777777" w:rsidR="00AD162D" w:rsidRDefault="00AD162D" w:rsidP="00AD162D">
      <w:pPr>
        <w:rPr>
          <w:b w:val="0"/>
          <w:bCs/>
          <w:lang w:val="en-US"/>
        </w:rPr>
      </w:pPr>
      <w:r>
        <w:rPr>
          <w:b w:val="0"/>
          <w:bCs/>
          <w:lang w:val="en-US"/>
        </w:rPr>
        <w:t>--Literary creation and the publishing market</w:t>
      </w:r>
    </w:p>
    <w:p w14:paraId="5DF7E32F" w14:textId="77777777" w:rsidR="00AD162D" w:rsidRDefault="00AD162D" w:rsidP="00AD162D">
      <w:pPr>
        <w:rPr>
          <w:b w:val="0"/>
          <w:bCs/>
          <w:lang w:val="en-US"/>
        </w:rPr>
      </w:pPr>
    </w:p>
    <w:p w14:paraId="09D37CE3" w14:textId="77777777" w:rsidR="00AD162D" w:rsidRPr="001403DB" w:rsidRDefault="00AD162D" w:rsidP="00AD162D">
      <w:pPr>
        <w:rPr>
          <w:lang w:val="en-US"/>
        </w:rPr>
      </w:pPr>
    </w:p>
    <w:p w14:paraId="116AB8C8" w14:textId="0F4E4F0A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b w:val="0"/>
          <w:bCs/>
          <w:lang w:val="en-US"/>
        </w:rPr>
        <w:t xml:space="preserve">Abstracts in English, Spanish, Galician or Catalan should be sent </w:t>
      </w:r>
      <w:r>
        <w:rPr>
          <w:b w:val="0"/>
          <w:bCs/>
          <w:lang w:val="en-US"/>
        </w:rPr>
        <w:t xml:space="preserve">via </w:t>
      </w:r>
      <w:r w:rsidRPr="003C2AC5">
        <w:rPr>
          <w:b w:val="0"/>
          <w:bCs/>
          <w:lang w:val="en-US"/>
        </w:rPr>
        <w:t>Word document (.doc or .docx) by</w:t>
      </w:r>
      <w:r w:rsidR="00876997">
        <w:rPr>
          <w:b w:val="0"/>
          <w:bCs/>
          <w:lang w:val="en-US"/>
        </w:rPr>
        <w:t xml:space="preserve"> December 5</w:t>
      </w:r>
      <w:r w:rsidRPr="003C2AC5">
        <w:rPr>
          <w:b w:val="0"/>
          <w:bCs/>
          <w:lang w:val="en-US"/>
        </w:rPr>
        <w:t xml:space="preserve">, 2021 to: </w:t>
      </w:r>
    </w:p>
    <w:p w14:paraId="463F797E" w14:textId="77777777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b w:val="0"/>
          <w:bCs/>
          <w:lang w:val="en-US"/>
        </w:rPr>
        <w:t>Toni Dorca</w:t>
      </w:r>
    </w:p>
    <w:p w14:paraId="0C24B064" w14:textId="77777777" w:rsidR="00AD162D" w:rsidRPr="003C2AC5" w:rsidRDefault="00AD162D" w:rsidP="00AD162D">
      <w:pPr>
        <w:rPr>
          <w:b w:val="0"/>
          <w:bCs/>
          <w:lang w:val="en-US"/>
        </w:rPr>
      </w:pPr>
      <w:r w:rsidRPr="003C2AC5">
        <w:rPr>
          <w:b w:val="0"/>
          <w:bCs/>
          <w:lang w:val="en-US"/>
        </w:rPr>
        <w:t>dorca@macalester.edu</w:t>
      </w:r>
    </w:p>
    <w:p w14:paraId="768FA918" w14:textId="77777777" w:rsidR="00AD162D" w:rsidRPr="003C2AC5" w:rsidRDefault="00AD162D" w:rsidP="00AD162D">
      <w:pPr>
        <w:rPr>
          <w:b w:val="0"/>
          <w:bCs/>
          <w:lang w:val="en-US"/>
        </w:rPr>
      </w:pPr>
    </w:p>
    <w:p w14:paraId="0056E37A" w14:textId="77777777" w:rsidR="00AD162D" w:rsidRDefault="00AD162D" w:rsidP="00AD162D">
      <w:pPr>
        <w:rPr>
          <w:b w:val="0"/>
          <w:bCs/>
        </w:rPr>
      </w:pPr>
    </w:p>
    <w:p w14:paraId="20616636" w14:textId="77777777" w:rsidR="00AD162D" w:rsidRDefault="00AD162D" w:rsidP="00AD162D">
      <w:pPr>
        <w:rPr>
          <w:b w:val="0"/>
          <w:bCs/>
        </w:rPr>
      </w:pPr>
    </w:p>
    <w:p w14:paraId="539AE382" w14:textId="77777777" w:rsidR="00AD162D" w:rsidRDefault="00AD162D" w:rsidP="00AD162D">
      <w:pPr>
        <w:rPr>
          <w:b w:val="0"/>
          <w:bCs/>
        </w:rPr>
      </w:pPr>
    </w:p>
    <w:p w14:paraId="7816DBCC" w14:textId="77777777" w:rsidR="00AD162D" w:rsidRPr="00D45823" w:rsidRDefault="00AD162D" w:rsidP="00AD162D">
      <w:pPr>
        <w:rPr>
          <w:lang w:val="en-US"/>
        </w:rPr>
      </w:pPr>
    </w:p>
    <w:p w14:paraId="7D68D823" w14:textId="2B4D451B" w:rsidR="0038630E" w:rsidRDefault="00BB1A2C" w:rsidP="00007CF6">
      <w:pPr>
        <w:rPr>
          <w:b w:val="0"/>
          <w:bCs/>
        </w:rPr>
      </w:pPr>
      <w:r>
        <w:rPr>
          <w:b w:val="0"/>
          <w:bCs/>
        </w:rPr>
        <w:tab/>
      </w:r>
    </w:p>
    <w:p w14:paraId="1B5E63F5" w14:textId="6B27933D" w:rsidR="00F85412" w:rsidRDefault="00B0794F" w:rsidP="00F85412">
      <w:pPr>
        <w:jc w:val="center"/>
      </w:pPr>
      <w:r>
        <w:rPr>
          <w:b w:val="0"/>
          <w:bCs/>
        </w:rPr>
        <w:tab/>
        <w:t xml:space="preserve"> </w:t>
      </w:r>
    </w:p>
    <w:sectPr w:rsidR="00F85412" w:rsidSect="00B9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473"/>
    <w:multiLevelType w:val="hybridMultilevel"/>
    <w:tmpl w:val="BE8EE0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8"/>
    <w:rsid w:val="00005702"/>
    <w:rsid w:val="00007CF6"/>
    <w:rsid w:val="0003540B"/>
    <w:rsid w:val="00043148"/>
    <w:rsid w:val="00055DA4"/>
    <w:rsid w:val="00065FDF"/>
    <w:rsid w:val="00075916"/>
    <w:rsid w:val="00087406"/>
    <w:rsid w:val="000874E8"/>
    <w:rsid w:val="00090244"/>
    <w:rsid w:val="00090C63"/>
    <w:rsid w:val="00091A71"/>
    <w:rsid w:val="000A3081"/>
    <w:rsid w:val="000C7568"/>
    <w:rsid w:val="000F1C4D"/>
    <w:rsid w:val="000F3410"/>
    <w:rsid w:val="00103692"/>
    <w:rsid w:val="00111FD7"/>
    <w:rsid w:val="00111FE8"/>
    <w:rsid w:val="0012422C"/>
    <w:rsid w:val="0012712C"/>
    <w:rsid w:val="001315CE"/>
    <w:rsid w:val="001403DB"/>
    <w:rsid w:val="00150407"/>
    <w:rsid w:val="00156FB9"/>
    <w:rsid w:val="001854A1"/>
    <w:rsid w:val="00196A8D"/>
    <w:rsid w:val="001A3013"/>
    <w:rsid w:val="001A7A22"/>
    <w:rsid w:val="001B2715"/>
    <w:rsid w:val="001B6558"/>
    <w:rsid w:val="001D0C51"/>
    <w:rsid w:val="001D2C33"/>
    <w:rsid w:val="001D344C"/>
    <w:rsid w:val="001E065C"/>
    <w:rsid w:val="001E44D9"/>
    <w:rsid w:val="001E7F66"/>
    <w:rsid w:val="001F0E27"/>
    <w:rsid w:val="001F6648"/>
    <w:rsid w:val="001F72AC"/>
    <w:rsid w:val="00201C4A"/>
    <w:rsid w:val="0021218E"/>
    <w:rsid w:val="00226FA1"/>
    <w:rsid w:val="0024465C"/>
    <w:rsid w:val="002549D8"/>
    <w:rsid w:val="00261527"/>
    <w:rsid w:val="00264FC3"/>
    <w:rsid w:val="00275408"/>
    <w:rsid w:val="0028153A"/>
    <w:rsid w:val="00282914"/>
    <w:rsid w:val="002861C0"/>
    <w:rsid w:val="00294398"/>
    <w:rsid w:val="002A1194"/>
    <w:rsid w:val="002A3F82"/>
    <w:rsid w:val="002A7DEB"/>
    <w:rsid w:val="002B12DA"/>
    <w:rsid w:val="002D23A0"/>
    <w:rsid w:val="002E0FD4"/>
    <w:rsid w:val="002E271F"/>
    <w:rsid w:val="002F24D6"/>
    <w:rsid w:val="00300392"/>
    <w:rsid w:val="003058B4"/>
    <w:rsid w:val="003064F4"/>
    <w:rsid w:val="003076CB"/>
    <w:rsid w:val="0031344F"/>
    <w:rsid w:val="00352E44"/>
    <w:rsid w:val="00362828"/>
    <w:rsid w:val="00364465"/>
    <w:rsid w:val="00364FEF"/>
    <w:rsid w:val="00372A84"/>
    <w:rsid w:val="0037710F"/>
    <w:rsid w:val="0038630E"/>
    <w:rsid w:val="00393518"/>
    <w:rsid w:val="003B15C3"/>
    <w:rsid w:val="003C42B0"/>
    <w:rsid w:val="003E37DB"/>
    <w:rsid w:val="003F0951"/>
    <w:rsid w:val="003F432D"/>
    <w:rsid w:val="00402FBA"/>
    <w:rsid w:val="004217E6"/>
    <w:rsid w:val="00430554"/>
    <w:rsid w:val="004322EA"/>
    <w:rsid w:val="0046351D"/>
    <w:rsid w:val="00465408"/>
    <w:rsid w:val="00466101"/>
    <w:rsid w:val="004A137D"/>
    <w:rsid w:val="004A29AB"/>
    <w:rsid w:val="004C215E"/>
    <w:rsid w:val="004D427A"/>
    <w:rsid w:val="004F4203"/>
    <w:rsid w:val="00507267"/>
    <w:rsid w:val="005161FA"/>
    <w:rsid w:val="00516C00"/>
    <w:rsid w:val="00531791"/>
    <w:rsid w:val="00534C08"/>
    <w:rsid w:val="005408BC"/>
    <w:rsid w:val="00553F04"/>
    <w:rsid w:val="00555F2F"/>
    <w:rsid w:val="00577060"/>
    <w:rsid w:val="005858D0"/>
    <w:rsid w:val="005A228D"/>
    <w:rsid w:val="005B2DB9"/>
    <w:rsid w:val="005B31EC"/>
    <w:rsid w:val="005B4E88"/>
    <w:rsid w:val="005C5612"/>
    <w:rsid w:val="005C5F76"/>
    <w:rsid w:val="005C64A2"/>
    <w:rsid w:val="005D4C47"/>
    <w:rsid w:val="005D6352"/>
    <w:rsid w:val="005D64C8"/>
    <w:rsid w:val="005E791A"/>
    <w:rsid w:val="005F45A9"/>
    <w:rsid w:val="0060718C"/>
    <w:rsid w:val="00613754"/>
    <w:rsid w:val="00632987"/>
    <w:rsid w:val="00645E00"/>
    <w:rsid w:val="00664D2A"/>
    <w:rsid w:val="00671179"/>
    <w:rsid w:val="006A2607"/>
    <w:rsid w:val="006B0FF0"/>
    <w:rsid w:val="006B3B62"/>
    <w:rsid w:val="006C1336"/>
    <w:rsid w:val="006C1F5D"/>
    <w:rsid w:val="006C63BF"/>
    <w:rsid w:val="006D0858"/>
    <w:rsid w:val="006E2C64"/>
    <w:rsid w:val="00722F20"/>
    <w:rsid w:val="007247D0"/>
    <w:rsid w:val="00733B35"/>
    <w:rsid w:val="00767695"/>
    <w:rsid w:val="007754FB"/>
    <w:rsid w:val="007812AF"/>
    <w:rsid w:val="00781D48"/>
    <w:rsid w:val="00786549"/>
    <w:rsid w:val="007B4966"/>
    <w:rsid w:val="007C0712"/>
    <w:rsid w:val="007C1683"/>
    <w:rsid w:val="007C3609"/>
    <w:rsid w:val="007D666F"/>
    <w:rsid w:val="007E1FD0"/>
    <w:rsid w:val="007E4A85"/>
    <w:rsid w:val="007E74B2"/>
    <w:rsid w:val="007F65EE"/>
    <w:rsid w:val="00800CD6"/>
    <w:rsid w:val="0080116C"/>
    <w:rsid w:val="00813F09"/>
    <w:rsid w:val="008202C1"/>
    <w:rsid w:val="00832596"/>
    <w:rsid w:val="00833F48"/>
    <w:rsid w:val="00834BD5"/>
    <w:rsid w:val="0084735D"/>
    <w:rsid w:val="008520BC"/>
    <w:rsid w:val="0085588A"/>
    <w:rsid w:val="00863391"/>
    <w:rsid w:val="00872F2A"/>
    <w:rsid w:val="00876997"/>
    <w:rsid w:val="008A156D"/>
    <w:rsid w:val="008A45E2"/>
    <w:rsid w:val="008A7594"/>
    <w:rsid w:val="008B2C65"/>
    <w:rsid w:val="008C22C2"/>
    <w:rsid w:val="008C26E6"/>
    <w:rsid w:val="008C64CF"/>
    <w:rsid w:val="008D045A"/>
    <w:rsid w:val="008E06EB"/>
    <w:rsid w:val="00902D58"/>
    <w:rsid w:val="00911F71"/>
    <w:rsid w:val="00912C1D"/>
    <w:rsid w:val="0092501A"/>
    <w:rsid w:val="009331A9"/>
    <w:rsid w:val="00945FF6"/>
    <w:rsid w:val="00962C8C"/>
    <w:rsid w:val="00963FC1"/>
    <w:rsid w:val="00973206"/>
    <w:rsid w:val="00973797"/>
    <w:rsid w:val="00973DB3"/>
    <w:rsid w:val="00976CE1"/>
    <w:rsid w:val="00976DDF"/>
    <w:rsid w:val="009810E3"/>
    <w:rsid w:val="00982007"/>
    <w:rsid w:val="009851EA"/>
    <w:rsid w:val="009C317A"/>
    <w:rsid w:val="009C5797"/>
    <w:rsid w:val="009D0FFB"/>
    <w:rsid w:val="009D3B15"/>
    <w:rsid w:val="009D7192"/>
    <w:rsid w:val="009F1964"/>
    <w:rsid w:val="009F23BD"/>
    <w:rsid w:val="00A24F8C"/>
    <w:rsid w:val="00A30DD0"/>
    <w:rsid w:val="00A34DBB"/>
    <w:rsid w:val="00A37126"/>
    <w:rsid w:val="00A53241"/>
    <w:rsid w:val="00A555CE"/>
    <w:rsid w:val="00A5584E"/>
    <w:rsid w:val="00A62EC1"/>
    <w:rsid w:val="00A70714"/>
    <w:rsid w:val="00A73FBA"/>
    <w:rsid w:val="00AA0065"/>
    <w:rsid w:val="00AA0952"/>
    <w:rsid w:val="00AA2379"/>
    <w:rsid w:val="00AB6F75"/>
    <w:rsid w:val="00AC0044"/>
    <w:rsid w:val="00AD162D"/>
    <w:rsid w:val="00AE203B"/>
    <w:rsid w:val="00AE6018"/>
    <w:rsid w:val="00AF000F"/>
    <w:rsid w:val="00B0794F"/>
    <w:rsid w:val="00B144B1"/>
    <w:rsid w:val="00B34D34"/>
    <w:rsid w:val="00B51A0A"/>
    <w:rsid w:val="00B54191"/>
    <w:rsid w:val="00B54C54"/>
    <w:rsid w:val="00B709BF"/>
    <w:rsid w:val="00B81590"/>
    <w:rsid w:val="00B90611"/>
    <w:rsid w:val="00BA1D7B"/>
    <w:rsid w:val="00BB1A2C"/>
    <w:rsid w:val="00BB30E1"/>
    <w:rsid w:val="00BB5CBF"/>
    <w:rsid w:val="00BD0950"/>
    <w:rsid w:val="00BD2711"/>
    <w:rsid w:val="00BD3E27"/>
    <w:rsid w:val="00BD4AA5"/>
    <w:rsid w:val="00BD5052"/>
    <w:rsid w:val="00BE5FA7"/>
    <w:rsid w:val="00C22086"/>
    <w:rsid w:val="00C5437F"/>
    <w:rsid w:val="00C57B8A"/>
    <w:rsid w:val="00C7458A"/>
    <w:rsid w:val="00C82322"/>
    <w:rsid w:val="00C839A6"/>
    <w:rsid w:val="00C86FC9"/>
    <w:rsid w:val="00CA1B81"/>
    <w:rsid w:val="00CB0B57"/>
    <w:rsid w:val="00CB3F48"/>
    <w:rsid w:val="00CC78A7"/>
    <w:rsid w:val="00CD58F5"/>
    <w:rsid w:val="00CD5C71"/>
    <w:rsid w:val="00CD6145"/>
    <w:rsid w:val="00CE2C8D"/>
    <w:rsid w:val="00CE391C"/>
    <w:rsid w:val="00CF7506"/>
    <w:rsid w:val="00D05407"/>
    <w:rsid w:val="00D11A55"/>
    <w:rsid w:val="00D15278"/>
    <w:rsid w:val="00D1536F"/>
    <w:rsid w:val="00D3575C"/>
    <w:rsid w:val="00D5024E"/>
    <w:rsid w:val="00D6204E"/>
    <w:rsid w:val="00D73EF2"/>
    <w:rsid w:val="00D80D20"/>
    <w:rsid w:val="00D81230"/>
    <w:rsid w:val="00D81ECE"/>
    <w:rsid w:val="00D90481"/>
    <w:rsid w:val="00D93B38"/>
    <w:rsid w:val="00D96AB0"/>
    <w:rsid w:val="00D96EA0"/>
    <w:rsid w:val="00DB6F86"/>
    <w:rsid w:val="00DB7A15"/>
    <w:rsid w:val="00DD69DC"/>
    <w:rsid w:val="00DF2F75"/>
    <w:rsid w:val="00DF3825"/>
    <w:rsid w:val="00DF47FD"/>
    <w:rsid w:val="00DF5340"/>
    <w:rsid w:val="00E01B83"/>
    <w:rsid w:val="00E04B8C"/>
    <w:rsid w:val="00E04C47"/>
    <w:rsid w:val="00E14D05"/>
    <w:rsid w:val="00E15A7B"/>
    <w:rsid w:val="00E21264"/>
    <w:rsid w:val="00E3462A"/>
    <w:rsid w:val="00E41C4C"/>
    <w:rsid w:val="00E4532B"/>
    <w:rsid w:val="00E454BB"/>
    <w:rsid w:val="00E64203"/>
    <w:rsid w:val="00E7725C"/>
    <w:rsid w:val="00E819E8"/>
    <w:rsid w:val="00E83ACD"/>
    <w:rsid w:val="00E93E15"/>
    <w:rsid w:val="00EA0A7B"/>
    <w:rsid w:val="00EB1A44"/>
    <w:rsid w:val="00EC33A3"/>
    <w:rsid w:val="00EC768E"/>
    <w:rsid w:val="00ED48EC"/>
    <w:rsid w:val="00EE6ABF"/>
    <w:rsid w:val="00F01953"/>
    <w:rsid w:val="00F020AB"/>
    <w:rsid w:val="00F02866"/>
    <w:rsid w:val="00F065F3"/>
    <w:rsid w:val="00F22A08"/>
    <w:rsid w:val="00F25308"/>
    <w:rsid w:val="00F46A35"/>
    <w:rsid w:val="00F53677"/>
    <w:rsid w:val="00F55D29"/>
    <w:rsid w:val="00F57813"/>
    <w:rsid w:val="00F67F8F"/>
    <w:rsid w:val="00F83A2F"/>
    <w:rsid w:val="00F85412"/>
    <w:rsid w:val="00F967FD"/>
    <w:rsid w:val="00F96CA2"/>
    <w:rsid w:val="00FA3EB5"/>
    <w:rsid w:val="00FC3A05"/>
    <w:rsid w:val="00FE766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9709"/>
  <w15:chartTrackingRefBased/>
  <w15:docId w15:val="{397AFE18-A02E-0542-B9F1-8303FF59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Body CS)"/>
        <w:b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3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3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A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A71"/>
    <w:rPr>
      <w:sz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A7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A71"/>
    <w:rPr>
      <w:bCs/>
      <w:sz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7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71"/>
    <w:rPr>
      <w:rFonts w:cs="Times New Roman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C86FC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ca@macal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1A666-DC11-49D6-BD01-3939FF00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 </cp:lastModifiedBy>
  <cp:revision>2</cp:revision>
  <dcterms:created xsi:type="dcterms:W3CDTF">2021-11-08T15:12:00Z</dcterms:created>
  <dcterms:modified xsi:type="dcterms:W3CDTF">2021-11-08T15:12:00Z</dcterms:modified>
</cp:coreProperties>
</file>